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394245E" w:rsidP="47431631" w:rsidRDefault="4394245E" w14:paraId="64789765" w14:textId="1BB288EC">
      <w:pPr>
        <w:spacing w:before="240" w:beforeAutospacing="off" w:after="240" w:afterAutospacing="off"/>
        <w:jc w:val="center"/>
        <w:rPr>
          <w:rFonts w:ascii="Gill Sans Nova" w:hAnsi="Gill Sans Nova" w:eastAsia="Gill Sans Nova" w:cs="Gill Sans Nova"/>
          <w:b w:val="1"/>
          <w:bCs w:val="1"/>
          <w:i w:val="0"/>
          <w:iCs w:val="0"/>
          <w:noProof w:val="0"/>
          <w:sz w:val="40"/>
          <w:szCs w:val="40"/>
          <w:lang w:val="es-ES"/>
        </w:rPr>
      </w:pPr>
      <w:r w:rsidRPr="47431631" w:rsidR="7CF0CF37">
        <w:rPr>
          <w:rFonts w:ascii="Gill Sans Nova" w:hAnsi="Gill Sans Nova" w:eastAsia="Gill Sans Nova" w:cs="Gill Sans Nova"/>
          <w:b w:val="1"/>
          <w:bCs w:val="1"/>
          <w:i w:val="0"/>
          <w:iCs w:val="0"/>
          <w:noProof w:val="0"/>
          <w:sz w:val="40"/>
          <w:szCs w:val="40"/>
          <w:lang w:val="es-ES"/>
        </w:rPr>
        <w:t xml:space="preserve">Del otoño al invierno en el </w:t>
      </w:r>
      <w:r w:rsidRPr="47431631" w:rsidR="76191439">
        <w:rPr>
          <w:rFonts w:ascii="Gill Sans Nova" w:hAnsi="Gill Sans Nova" w:eastAsia="Gill Sans Nova" w:cs="Gill Sans Nova"/>
          <w:b w:val="1"/>
          <w:bCs w:val="1"/>
          <w:i w:val="0"/>
          <w:iCs w:val="0"/>
          <w:noProof w:val="0"/>
          <w:sz w:val="40"/>
          <w:szCs w:val="40"/>
          <w:lang w:val="es-ES"/>
        </w:rPr>
        <w:t>Bósforo</w:t>
      </w:r>
      <w:r w:rsidRPr="47431631" w:rsidR="78BD489E">
        <w:rPr>
          <w:rFonts w:ascii="Gill Sans Nova" w:hAnsi="Gill Sans Nova" w:eastAsia="Gill Sans Nova" w:cs="Gill Sans Nova"/>
          <w:b w:val="1"/>
          <w:bCs w:val="1"/>
          <w:i w:val="0"/>
          <w:iCs w:val="0"/>
          <w:noProof w:val="0"/>
          <w:sz w:val="40"/>
          <w:szCs w:val="40"/>
          <w:lang w:val="es-ES"/>
        </w:rPr>
        <w:t>, una temporada para descubrir Estambul</w:t>
      </w:r>
    </w:p>
    <w:p w:rsidR="6750095C" w:rsidP="7B37166B" w:rsidRDefault="6750095C" w14:paraId="69B2D8B8" w14:textId="3403A0AF">
      <w:pPr>
        <w:pStyle w:val="Normal"/>
        <w:spacing w:before="240" w:beforeAutospacing="off" w:after="240" w:afterAutospacing="off"/>
        <w:jc w:val="center"/>
        <w:rPr>
          <w:rFonts w:ascii="Gill Sans Nova" w:hAnsi="Gill Sans Nova" w:eastAsia="Gill Sans Nova" w:cs="Gill Sans Nova"/>
          <w:b w:val="1"/>
          <w:bCs w:val="1"/>
          <w:i w:val="1"/>
          <w:iCs w:val="1"/>
          <w:noProof w:val="0"/>
          <w:sz w:val="20"/>
          <w:szCs w:val="20"/>
          <w:lang w:val="es-ES"/>
        </w:rPr>
      </w:pPr>
      <w:r w:rsidRPr="7B37166B" w:rsidR="6750095C">
        <w:rPr>
          <w:rFonts w:ascii="Gill Sans Nova" w:hAnsi="Gill Sans Nova" w:eastAsia="Gill Sans Nova" w:cs="Gill Sans Nova"/>
          <w:b w:val="1"/>
          <w:bCs w:val="1"/>
          <w:i w:val="1"/>
          <w:iCs w:val="1"/>
          <w:noProof w:val="0"/>
          <w:sz w:val="20"/>
          <w:szCs w:val="20"/>
          <w:lang w:val="es-ES"/>
        </w:rPr>
        <w:t>Los últimos meses del año invitan a descubrir otra cara de Estambul, con The Peninsula Istanbul como punto de partida.</w:t>
      </w:r>
    </w:p>
    <w:p xmlns:wp14="http://schemas.microsoft.com/office/word/2010/wordml" w:rsidP="7B37166B" wp14:paraId="34563DEF" wp14:textId="23E18715">
      <w:pPr>
        <w:spacing w:before="240" w:beforeAutospacing="off" w:after="240" w:afterAutospacing="off"/>
        <w:jc w:val="both"/>
        <w:rPr>
          <w:rFonts w:ascii="Gill Sans Nova" w:hAnsi="Gill Sans Nova" w:eastAsia="Gill Sans Nova" w:cs="Gill Sans Nova"/>
          <w:noProof w:val="0"/>
          <w:sz w:val="20"/>
          <w:szCs w:val="20"/>
          <w:lang w:val="es-ES"/>
        </w:rPr>
      </w:pPr>
      <w:r w:rsidRPr="7B37166B" w:rsidR="6750095C">
        <w:rPr>
          <w:rFonts w:ascii="Gill Sans Nova" w:hAnsi="Gill Sans Nova" w:eastAsia="Gill Sans Nova" w:cs="Gill Sans Nova"/>
          <w:noProof w:val="0"/>
          <w:sz w:val="20"/>
          <w:szCs w:val="20"/>
          <w:lang w:val="es-ES"/>
        </w:rPr>
        <w:t>Las ciudades</w:t>
      </w:r>
      <w:r w:rsidRPr="7B37166B" w:rsidR="7E3290A4">
        <w:rPr>
          <w:rFonts w:ascii="Gill Sans Nova" w:hAnsi="Gill Sans Nova" w:eastAsia="Gill Sans Nova" w:cs="Gill Sans Nova"/>
          <w:noProof w:val="0"/>
          <w:sz w:val="20"/>
          <w:szCs w:val="20"/>
          <w:lang w:val="es-ES"/>
        </w:rPr>
        <w:t xml:space="preserve"> cambian de carácter con las estaciones, y Estambul es una de ellas. Entre noviembre y diciembre, los días se acortan, las temperaturas descienden y el Bósforo adquiere una atmósfera distinta. Los ferris continúan cruzando entre Europa y Asia, las mezquitas se recortan contra los cielos de otoño y los tradicionales baños turcos cobran especial atractivo cuando comienza el frío.</w:t>
      </w:r>
    </w:p>
    <w:p xmlns:wp14="http://schemas.microsoft.com/office/word/2010/wordml" w:rsidP="7B37166B" wp14:paraId="460187CC" wp14:textId="28386D05">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Es una temporada que invita a descubrir la ciudad desde dos perspectivas complementarias: recorrer el estrecho que ha marcado su historia y adentrarse en la cultura del agua, presente desde las grandes obras hidráulicas de Constantinopla hasta los hammams que todavía forman parte de la vida turca.</w:t>
      </w:r>
    </w:p>
    <w:p xmlns:wp14="http://schemas.microsoft.com/office/word/2010/wordml" w:rsidP="7B37166B" wp14:paraId="09774BEB" wp14:textId="691D9965">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Ubicado frente al Bósforo, en el histórico barrio de Karaköy,</w:t>
      </w:r>
      <w:r w:rsidRPr="7B37166B" w:rsidR="7E3290A4">
        <w:rPr>
          <w:rFonts w:ascii="Gill Sans Nova" w:hAnsi="Gill Sans Nova" w:eastAsia="Gill Sans Nova" w:cs="Gill Sans Nova"/>
          <w:noProof w:val="0"/>
          <w:sz w:val="20"/>
          <w:szCs w:val="20"/>
          <w:lang w:val="es-ES"/>
        </w:rPr>
        <w:t xml:space="preserve"> </w:t>
      </w:r>
      <w:hyperlink r:id="Reecb93a362b74ddc">
        <w:r w:rsidRPr="7B37166B" w:rsidR="7E3290A4">
          <w:rPr>
            <w:rStyle w:val="Hyperlink"/>
            <w:rFonts w:ascii="Gill Sans Nova" w:hAnsi="Gill Sans Nova" w:eastAsia="Gill Sans Nova" w:cs="Gill Sans Nova"/>
            <w:b w:val="0"/>
            <w:bCs w:val="0"/>
            <w:noProof w:val="0"/>
            <w:sz w:val="20"/>
            <w:szCs w:val="20"/>
            <w:lang w:val="es-ES"/>
          </w:rPr>
          <w:t>The Peninsula Istanbul</w:t>
        </w:r>
      </w:hyperlink>
      <w:r w:rsidRPr="7B37166B" w:rsidR="7E3290A4">
        <w:rPr>
          <w:rFonts w:ascii="Gill Sans Nova" w:hAnsi="Gill Sans Nova" w:eastAsia="Gill Sans Nova" w:cs="Gill Sans Nova"/>
          <w:b w:val="0"/>
          <w:bCs w:val="0"/>
          <w:noProof w:val="0"/>
          <w:sz w:val="20"/>
          <w:szCs w:val="20"/>
          <w:lang w:val="es-ES"/>
        </w:rPr>
        <w:t xml:space="preserve"> </w:t>
      </w:r>
      <w:r w:rsidRPr="7B37166B" w:rsidR="7E3290A4">
        <w:rPr>
          <w:rFonts w:ascii="Gill Sans Nova" w:hAnsi="Gill Sans Nova" w:eastAsia="Gill Sans Nova" w:cs="Gill Sans Nova"/>
          <w:noProof w:val="0"/>
          <w:sz w:val="20"/>
          <w:szCs w:val="20"/>
          <w:lang w:val="es-ES"/>
        </w:rPr>
        <w:t>permite conectar ambas experiencias. El hotel ocupa cuatro edificios, tres de ellos históricos y restaurados, dentro de Galataport, y ofrece una ubicación desde la cual explorar tanto el frente marítimo como algunos de los barrios más representativos de la ciudad.</w:t>
      </w:r>
    </w:p>
    <w:p w:rsidR="68778F7E" w:rsidP="7B37166B" w:rsidRDefault="68778F7E" w14:paraId="4EC2A466" w14:textId="4BEDC7B2">
      <w:pPr>
        <w:pStyle w:val="Normal"/>
        <w:rPr>
          <w:rFonts w:ascii="Gill Sans Nova" w:hAnsi="Gill Sans Nova" w:eastAsia="Gill Sans Nova" w:cs="Gill Sans Nova"/>
          <w:b w:val="1"/>
          <w:bCs w:val="1"/>
          <w:noProof w:val="0"/>
          <w:lang w:val="es-ES"/>
        </w:rPr>
      </w:pPr>
      <w:r w:rsidRPr="7B37166B" w:rsidR="68778F7E">
        <w:rPr>
          <w:rFonts w:ascii="Gill Sans Nova" w:hAnsi="Gill Sans Nova" w:eastAsia="Gill Sans Nova" w:cs="Gill Sans Nova"/>
          <w:b w:val="1"/>
          <w:bCs w:val="1"/>
          <w:noProof w:val="0"/>
          <w:lang w:val="es-ES"/>
        </w:rPr>
        <w:t>Estambul desde el agua</w:t>
      </w:r>
    </w:p>
    <w:p xmlns:wp14="http://schemas.microsoft.com/office/word/2010/wordml" w:rsidP="7B37166B" wp14:paraId="249978A0" wp14:textId="4760E9A3">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Pocas experiencias permiten comprender la geografía de Estambul tan claramente como navegar por el Bósforo. Este estrecho, que conecta el mar de Mármara con el mar Negro, separa las orillas europea y asiática de la ciudad y ha sido durante siglos una vía fundamental para el comercio, la navegación y la vida cotidiana.</w:t>
      </w:r>
    </w:p>
    <w:p xmlns:wp14="http://schemas.microsoft.com/office/word/2010/wordml" w:rsidP="7B37166B" wp14:paraId="3DDADFD8" wp14:textId="46AF2F2D">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Desde el agua, Estambul se revela como una sucesión de épocas arquitectónicas. Las cúpulas y minaretes de sus mezquitas conviven con antiguos palacios otomanos, fortalezas y residencias históricas construidas frente al estrecho.</w:t>
      </w:r>
    </w:p>
    <w:p xmlns:wp14="http://schemas.microsoft.com/office/word/2010/wordml" w:rsidP="7B37166B" wp14:paraId="79387D6D" wp14:textId="190ACF16">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Durante el otoño y el inicio del invierno, el recorrido tiene un atractivo particular. La luz más tenue, los árboles que cambian de color y la posibilidad de observar la ciudad desde una embarcación ofrecen una perspectiva diferente de sus monumentos. Entre los puntos más reconocibles del trayecto se encuentran el Palacio de Dolmabahçe, la Mezquita de Ortaköy y la fortaleza de Rumeli Hisarı.</w:t>
      </w:r>
    </w:p>
    <w:p xmlns:wp14="http://schemas.microsoft.com/office/word/2010/wordml" w:rsidP="7B37166B" wp14:paraId="35C0F2B8" wp14:textId="19F6C150">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Para quienes prefieren conocer el Bósforo como parte de la vida cotidiana, los ferris públicos son una alternativa que permite compartir el recorrido con los habitantes de la ciudad. También existen excursiones privadas para quienes buscan una navegación más personalizada.</w:t>
      </w:r>
    </w:p>
    <w:p xmlns:wp14="http://schemas.microsoft.com/office/word/2010/wordml" w:rsidP="7B37166B" wp14:paraId="5ABD910D" wp14:textId="1B9B5DAF">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b w:val="0"/>
          <w:bCs w:val="0"/>
          <w:noProof w:val="0"/>
          <w:sz w:val="20"/>
          <w:szCs w:val="20"/>
          <w:lang w:val="es-ES"/>
        </w:rPr>
        <w:t>The Peninsula Istanbul</w:t>
      </w:r>
      <w:r w:rsidRPr="7B37166B" w:rsidR="7E3290A4">
        <w:rPr>
          <w:rFonts w:ascii="Gill Sans Nova" w:hAnsi="Gill Sans Nova" w:eastAsia="Gill Sans Nova" w:cs="Gill Sans Nova"/>
          <w:b w:val="0"/>
          <w:bCs w:val="0"/>
          <w:noProof w:val="0"/>
          <w:sz w:val="20"/>
          <w:szCs w:val="20"/>
          <w:lang w:val="es-ES"/>
        </w:rPr>
        <w:t xml:space="preserve"> </w:t>
      </w:r>
      <w:r w:rsidRPr="7B37166B" w:rsidR="7E3290A4">
        <w:rPr>
          <w:rFonts w:ascii="Gill Sans Nova" w:hAnsi="Gill Sans Nova" w:eastAsia="Gill Sans Nova" w:cs="Gill Sans Nova"/>
          <w:noProof w:val="0"/>
          <w:sz w:val="20"/>
          <w:szCs w:val="20"/>
          <w:lang w:val="es-ES"/>
        </w:rPr>
        <w:t>mantiene una relación especialmente cercana con el estrecho. Su ubicación frente al agua, sus habitaciones y suites con vistas al Bósforo y su muelle privado hacen que el paisaje marítimo forme parte de la estancia.</w:t>
      </w:r>
    </w:p>
    <w:p xmlns:wp14="http://schemas.microsoft.com/office/word/2010/wordml" w:rsidP="7B37166B" wp14:paraId="20B37D6C" wp14:textId="5ED9FA4F">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 xml:space="preserve">La experiencia puede comenzar con un desayuno en </w:t>
      </w:r>
      <w:hyperlink r:id="R536a04b83a624a49">
        <w:r w:rsidRPr="7B37166B" w:rsidR="7E3290A4">
          <w:rPr>
            <w:rStyle w:val="Hyperlink"/>
            <w:rFonts w:ascii="Gill Sans Nova" w:hAnsi="Gill Sans Nova" w:eastAsia="Gill Sans Nova" w:cs="Gill Sans Nova"/>
            <w:noProof w:val="0"/>
            <w:sz w:val="20"/>
            <w:szCs w:val="20"/>
            <w:lang w:val="es-ES"/>
          </w:rPr>
          <w:t>The Lobby</w:t>
        </w:r>
      </w:hyperlink>
      <w:r w:rsidRPr="7B37166B" w:rsidR="7E3290A4">
        <w:rPr>
          <w:rFonts w:ascii="Gill Sans Nova" w:hAnsi="Gill Sans Nova" w:eastAsia="Gill Sans Nova" w:cs="Gill Sans Nova"/>
          <w:noProof w:val="0"/>
          <w:sz w:val="20"/>
          <w:szCs w:val="20"/>
          <w:lang w:val="es-ES"/>
        </w:rPr>
        <w:t>, contemplando el movimiento de las embarcaciones, y continuar con un recorrido por el estrecho. Al regresar, el hotel permite seguir disfrutando de esa relación con el agua desde sus espacios interiores, especialmente atractivos cuando las temperaturas comienzan a bajar.</w:t>
      </w:r>
    </w:p>
    <w:p w:rsidR="12D20BBB" w:rsidP="7B37166B" w:rsidRDefault="12D20BBB" w14:paraId="79984B0A" w14:textId="5E64F0F3">
      <w:pPr>
        <w:pStyle w:val="Normal"/>
        <w:rPr>
          <w:rFonts w:ascii="Gill Sans Nova" w:hAnsi="Gill Sans Nova" w:eastAsia="Gill Sans Nova" w:cs="Gill Sans Nova"/>
          <w:b w:val="1"/>
          <w:bCs w:val="1"/>
          <w:noProof w:val="0"/>
          <w:sz w:val="24"/>
          <w:szCs w:val="24"/>
          <w:lang w:val="es-ES"/>
        </w:rPr>
      </w:pPr>
      <w:r w:rsidRPr="7B37166B" w:rsidR="12D20BBB">
        <w:rPr>
          <w:rFonts w:ascii="Gill Sans Nova" w:hAnsi="Gill Sans Nova" w:eastAsia="Gill Sans Nova" w:cs="Gill Sans Nova"/>
          <w:b w:val="1"/>
          <w:bCs w:val="1"/>
          <w:noProof w:val="0"/>
          <w:sz w:val="24"/>
          <w:szCs w:val="24"/>
          <w:lang w:val="es-ES"/>
        </w:rPr>
        <w:t xml:space="preserve">La cultura </w:t>
      </w:r>
      <w:r w:rsidRPr="7B37166B" w:rsidR="12D20BBB">
        <w:rPr>
          <w:rFonts w:ascii="Gill Sans Nova" w:hAnsi="Gill Sans Nova" w:eastAsia="Gill Sans Nova" w:cs="Gill Sans Nova"/>
          <w:b w:val="1"/>
          <w:bCs w:val="1"/>
          <w:noProof w:val="0"/>
          <w:sz w:val="24"/>
          <w:szCs w:val="24"/>
          <w:lang w:val="es-ES"/>
        </w:rPr>
        <w:t>hammam</w:t>
      </w:r>
      <w:r w:rsidRPr="7B37166B" w:rsidR="12D20BBB">
        <w:rPr>
          <w:rFonts w:ascii="Gill Sans Nova" w:hAnsi="Gill Sans Nova" w:eastAsia="Gill Sans Nova" w:cs="Gill Sans Nova"/>
          <w:b w:val="1"/>
          <w:bCs w:val="1"/>
          <w:noProof w:val="0"/>
          <w:sz w:val="24"/>
          <w:szCs w:val="24"/>
          <w:lang w:val="es-ES"/>
        </w:rPr>
        <w:t xml:space="preserve"> </w:t>
      </w:r>
    </w:p>
    <w:p xmlns:wp14="http://schemas.microsoft.com/office/word/2010/wordml" w:rsidP="7B37166B" wp14:paraId="1FD7422A" wp14:textId="3C686D04">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Si el Bósforo permite entender la ciudad desde su geografía, los antiguos baños turcos ofrecen otra perspectiva: la importancia que el agua ha tenido en su historia, arquitectura y vida social.</w:t>
      </w:r>
    </w:p>
    <w:p xmlns:wp14="http://schemas.microsoft.com/office/word/2010/wordml" w:rsidP="7B37166B" wp14:paraId="1AFA49BA" wp14:textId="0982B636">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Mucho antes de convertirse en una experiencia asociada con el bienestar, los hammams eran espacios vinculados con la higiene, los rituales de purificación y la convivencia. Su desarrollo estuvo relacionado con las tradiciones de baño romanas y bizantinas, que evolucionaron durante el periodo otomano.</w:t>
      </w:r>
    </w:p>
    <w:p xmlns:wp14="http://schemas.microsoft.com/office/word/2010/wordml" w:rsidP="7B37166B" wp14:paraId="7FB7A4F5" wp14:textId="48F4C0F7">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La experiencia tradicional suele incluir ambientes de mármol calefaccionado, vapor, agua caliente y, dependiendo del servicio, exfoliaciones y baños de espuma. Sin embargo, su valor cultural va más allá del tratamiento: los hammams también son una expresión de la arquitectura y las costumbres de Estambul.</w:t>
      </w:r>
    </w:p>
    <w:p xmlns:wp14="http://schemas.microsoft.com/office/word/2010/wordml" w:rsidP="7B37166B" wp14:paraId="5E0B6903" wp14:textId="605E354A">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 xml:space="preserve">Para profundizar en esa historia, </w:t>
      </w:r>
      <w:r w:rsidRPr="7B37166B" w:rsidR="7E3290A4">
        <w:rPr>
          <w:rFonts w:ascii="Gill Sans Nova" w:hAnsi="Gill Sans Nova" w:eastAsia="Gill Sans Nova" w:cs="Gill Sans Nova"/>
          <w:b w:val="0"/>
          <w:bCs w:val="0"/>
          <w:noProof w:val="0"/>
          <w:sz w:val="20"/>
          <w:szCs w:val="20"/>
          <w:lang w:val="es-ES"/>
        </w:rPr>
        <w:t>The Peninsula Istanbul</w:t>
      </w:r>
      <w:r w:rsidRPr="7B37166B" w:rsidR="7E3290A4">
        <w:rPr>
          <w:rFonts w:ascii="Gill Sans Nova" w:hAnsi="Gill Sans Nova" w:eastAsia="Gill Sans Nova" w:cs="Gill Sans Nova"/>
          <w:b w:val="0"/>
          <w:bCs w:val="0"/>
          <w:noProof w:val="0"/>
          <w:sz w:val="20"/>
          <w:szCs w:val="20"/>
          <w:lang w:val="es-ES"/>
        </w:rPr>
        <w:t xml:space="preserve"> </w:t>
      </w:r>
      <w:r w:rsidRPr="7B37166B" w:rsidR="7E3290A4">
        <w:rPr>
          <w:rFonts w:ascii="Gill Sans Nova" w:hAnsi="Gill Sans Nova" w:eastAsia="Gill Sans Nova" w:cs="Gill Sans Nova"/>
          <w:noProof w:val="0"/>
          <w:sz w:val="20"/>
          <w:szCs w:val="20"/>
          <w:lang w:val="es-ES"/>
        </w:rPr>
        <w:t xml:space="preserve">cuenta con una experiencia de </w:t>
      </w:r>
      <w:hyperlink r:id="R538b93a05c1a434a">
        <w:r w:rsidRPr="7B37166B" w:rsidR="7E3290A4">
          <w:rPr>
            <w:rStyle w:val="Hyperlink"/>
            <w:rFonts w:ascii="Gill Sans Nova" w:hAnsi="Gill Sans Nova" w:eastAsia="Gill Sans Nova" w:cs="Gill Sans Nova"/>
            <w:i w:val="1"/>
            <w:iCs w:val="1"/>
            <w:noProof w:val="0"/>
            <w:sz w:val="20"/>
            <w:szCs w:val="20"/>
            <w:lang w:val="es-ES"/>
          </w:rPr>
          <w:t>The Peninsula Academy</w:t>
        </w:r>
      </w:hyperlink>
      <w:r w:rsidRPr="7B37166B" w:rsidR="7E3290A4">
        <w:rPr>
          <w:rFonts w:ascii="Gill Sans Nova" w:hAnsi="Gill Sans Nova" w:eastAsia="Gill Sans Nova" w:cs="Gill Sans Nova"/>
          <w:noProof w:val="0"/>
          <w:sz w:val="20"/>
          <w:szCs w:val="20"/>
          <w:lang w:val="es-ES"/>
        </w:rPr>
        <w:t xml:space="preserve"> llamada</w:t>
      </w:r>
      <w:r w:rsidRPr="7B37166B" w:rsidR="7E3290A4">
        <w:rPr>
          <w:rFonts w:ascii="Gill Sans Nova" w:hAnsi="Gill Sans Nova" w:eastAsia="Gill Sans Nova" w:cs="Gill Sans Nova"/>
          <w:b w:val="0"/>
          <w:bCs w:val="0"/>
          <w:noProof w:val="0"/>
          <w:sz w:val="20"/>
          <w:szCs w:val="20"/>
          <w:lang w:val="es-ES"/>
        </w:rPr>
        <w:t xml:space="preserve"> </w:t>
      </w:r>
      <w:hyperlink r:id="Rf81eb3b9376741cd">
        <w:r w:rsidRPr="7B37166B" w:rsidR="7E3290A4">
          <w:rPr>
            <w:rStyle w:val="Hyperlink"/>
            <w:rFonts w:ascii="Gill Sans Nova" w:hAnsi="Gill Sans Nova" w:eastAsia="Gill Sans Nova" w:cs="Gill Sans Nova"/>
            <w:b w:val="0"/>
            <w:bCs w:val="0"/>
            <w:noProof w:val="0"/>
            <w:sz w:val="20"/>
            <w:szCs w:val="20"/>
            <w:lang w:val="es-ES"/>
          </w:rPr>
          <w:t>Healing Waters of Istanbul</w:t>
        </w:r>
      </w:hyperlink>
      <w:r w:rsidRPr="7B37166B" w:rsidR="7E3290A4">
        <w:rPr>
          <w:rFonts w:ascii="Gill Sans Nova" w:hAnsi="Gill Sans Nova" w:eastAsia="Gill Sans Nova" w:cs="Gill Sans Nova"/>
          <w:noProof w:val="0"/>
          <w:sz w:val="20"/>
          <w:szCs w:val="20"/>
          <w:lang w:val="es-ES"/>
        </w:rPr>
        <w:t>, que propone explorar la relación de la ciudad con el agua a través de distintos periodos históricos.</w:t>
      </w:r>
    </w:p>
    <w:p xmlns:wp14="http://schemas.microsoft.com/office/word/2010/wordml" w:rsidP="7B37166B" wp14:paraId="4E12E23F" wp14:textId="627DCB7F">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El recorrido incluye la Cisterna de Teodosio, una construcción subterránea que permite descubrir la ingeniería hidráulica de la antigua Constantinopla, y el acueducto de Valente, parte del sistema que abastecía de agua a la ciudad.</w:t>
      </w:r>
    </w:p>
    <w:p xmlns:wp14="http://schemas.microsoft.com/office/word/2010/wordml" w:rsidP="7B37166B" wp14:paraId="0B69C478" wp14:textId="296DFF57">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 xml:space="preserve">Otra de sus paradas es el </w:t>
      </w:r>
      <w:r w:rsidRPr="7B37166B" w:rsidR="7E3290A4">
        <w:rPr>
          <w:rFonts w:ascii="Gill Sans Nova" w:hAnsi="Gill Sans Nova" w:eastAsia="Gill Sans Nova" w:cs="Gill Sans Nova"/>
          <w:b w:val="0"/>
          <w:bCs w:val="0"/>
          <w:noProof w:val="0"/>
          <w:sz w:val="20"/>
          <w:szCs w:val="20"/>
          <w:lang w:val="es-ES"/>
        </w:rPr>
        <w:t>Zeyrek Çinili Hamam</w:t>
      </w:r>
      <w:r w:rsidRPr="7B37166B" w:rsidR="7E3290A4">
        <w:rPr>
          <w:rFonts w:ascii="Gill Sans Nova" w:hAnsi="Gill Sans Nova" w:eastAsia="Gill Sans Nova" w:cs="Gill Sans Nova"/>
          <w:noProof w:val="0"/>
          <w:sz w:val="20"/>
          <w:szCs w:val="20"/>
          <w:lang w:val="es-ES"/>
        </w:rPr>
        <w:t>, un baño otomano del siglo XVI conocido por su arquitectura y decoración cerámica. Su museo permite conocer la historia de los baños turcos y comprender cómo estos espacios se integraron a la vida social y cultural.</w:t>
      </w:r>
    </w:p>
    <w:p xmlns:wp14="http://schemas.microsoft.com/office/word/2010/wordml" w:rsidP="7B37166B" wp14:paraId="0AB7056D" wp14:textId="5322D37B">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La experiencia también incorpora una comida de pescados y mezes locales, además de otras visitas relacionadas con el patrimonio hidráulico y religioso de Estambul.</w:t>
      </w:r>
    </w:p>
    <w:p xmlns:wp14="http://schemas.microsoft.com/office/word/2010/wordml" w:rsidP="7B37166B" wp14:paraId="1164CA7F" wp14:textId="2EB2B185">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 xml:space="preserve">De regreso en </w:t>
      </w:r>
      <w:r w:rsidRPr="7B37166B" w:rsidR="7E3290A4">
        <w:rPr>
          <w:rFonts w:ascii="Gill Sans Nova" w:hAnsi="Gill Sans Nova" w:eastAsia="Gill Sans Nova" w:cs="Gill Sans Nova"/>
          <w:b w:val="0"/>
          <w:bCs w:val="0"/>
          <w:noProof w:val="0"/>
          <w:sz w:val="20"/>
          <w:szCs w:val="20"/>
          <w:lang w:val="es-ES"/>
        </w:rPr>
        <w:t>The Peninsula Istanbul</w:t>
      </w:r>
      <w:r w:rsidRPr="7B37166B" w:rsidR="7E3290A4">
        <w:rPr>
          <w:rFonts w:ascii="Gill Sans Nova" w:hAnsi="Gill Sans Nova" w:eastAsia="Gill Sans Nova" w:cs="Gill Sans Nova"/>
          <w:noProof w:val="0"/>
          <w:sz w:val="20"/>
          <w:szCs w:val="20"/>
          <w:lang w:val="es-ES"/>
        </w:rPr>
        <w:t xml:space="preserve">, esa exploración histórica puede continuar desde una perspectiva más personal. </w:t>
      </w:r>
      <w:hyperlink r:id="R729ea952fdae44bc">
        <w:r w:rsidRPr="7B37166B" w:rsidR="7E3290A4">
          <w:rPr>
            <w:rStyle w:val="Hyperlink"/>
            <w:rFonts w:ascii="Gill Sans Nova" w:hAnsi="Gill Sans Nova" w:eastAsia="Gill Sans Nova" w:cs="Gill Sans Nova"/>
            <w:noProof w:val="0"/>
            <w:sz w:val="20"/>
            <w:szCs w:val="20"/>
            <w:lang w:val="es-ES"/>
          </w:rPr>
          <w:t>The Peninsula Spa</w:t>
        </w:r>
      </w:hyperlink>
      <w:r w:rsidRPr="7B37166B" w:rsidR="7E3290A4">
        <w:rPr>
          <w:rFonts w:ascii="Gill Sans Nova" w:hAnsi="Gill Sans Nova" w:eastAsia="Gill Sans Nova" w:cs="Gill Sans Nova"/>
          <w:noProof w:val="0"/>
          <w:sz w:val="20"/>
          <w:szCs w:val="20"/>
          <w:lang w:val="es-ES"/>
        </w:rPr>
        <w:t xml:space="preserve"> cuenta con hammams tradicionales separados para hombres y mujeres, saunas, salas de relajación y espacios de tratamiento. El hotel también dispone de una piscina interior de 25 metros, rodeada de columnas de mármol de Mármara.</w:t>
      </w:r>
    </w:p>
    <w:p xmlns:wp14="http://schemas.microsoft.com/office/word/2010/wordml" w:rsidP="7B37166B" wp14:paraId="5EC10221" wp14:textId="6750D319">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Así, el visitante puede conocer primero el papel histórico de los baños turcos y después experimentar una de las tradiciones que han permanecido vigentes a través de los siglos.</w:t>
      </w:r>
    </w:p>
    <w:p w:rsidR="5B12C703" w:rsidP="7B37166B" w:rsidRDefault="5B12C703" w14:paraId="6BD9AFA0" w14:textId="0A30EDC2">
      <w:pPr>
        <w:pStyle w:val="Normal"/>
        <w:rPr>
          <w:rFonts w:ascii="Gill Sans Nova" w:hAnsi="Gill Sans Nova" w:eastAsia="Gill Sans Nova" w:cs="Gill Sans Nova"/>
          <w:b w:val="1"/>
          <w:bCs w:val="1"/>
          <w:noProof w:val="0"/>
          <w:sz w:val="24"/>
          <w:szCs w:val="24"/>
          <w:lang w:val="es-ES"/>
        </w:rPr>
      </w:pPr>
      <w:r w:rsidRPr="7B37166B" w:rsidR="5B12C703">
        <w:rPr>
          <w:rFonts w:ascii="Gill Sans Nova" w:hAnsi="Gill Sans Nova" w:eastAsia="Gill Sans Nova" w:cs="Gill Sans Nova"/>
          <w:b w:val="1"/>
          <w:bCs w:val="1"/>
          <w:noProof w:val="0"/>
          <w:sz w:val="24"/>
          <w:szCs w:val="24"/>
          <w:lang w:val="es-ES"/>
        </w:rPr>
        <w:t>Una estancia entre dos continentes y distintas épocas</w:t>
      </w:r>
    </w:p>
    <w:p xmlns:wp14="http://schemas.microsoft.com/office/word/2010/wordml" w:rsidP="7B37166B" wp14:paraId="6B856FDB" wp14:textId="46A1D10F">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Visitar Estambul entre finales de otoño y comienzos del invierno permite descubrir una ciudad donde el agua está presente de muchas maneras: en los ferris que conectan sus orillas, en los palacios que miran hacia el Bósforo, en las cisternas subterráneas y en los baños turcos que conservan prácticas centenarias.</w:t>
      </w:r>
    </w:p>
    <w:p xmlns:wp14="http://schemas.microsoft.com/office/word/2010/wordml" w:rsidP="7B37166B" wp14:paraId="376B9EA8" wp14:textId="73EC9302">
      <w:pPr>
        <w:spacing w:before="240" w:beforeAutospacing="off" w:after="240" w:afterAutospacing="off"/>
        <w:jc w:val="both"/>
        <w:rPr>
          <w:rFonts w:ascii="Gill Sans Nova" w:hAnsi="Gill Sans Nova" w:eastAsia="Gill Sans Nova" w:cs="Gill Sans Nova"/>
          <w:noProof w:val="0"/>
          <w:sz w:val="20"/>
          <w:szCs w:val="20"/>
          <w:lang w:val="es-ES"/>
        </w:rPr>
      </w:pPr>
      <w:r w:rsidRPr="7B37166B" w:rsidR="7E3290A4">
        <w:rPr>
          <w:rFonts w:ascii="Gill Sans Nova" w:hAnsi="Gill Sans Nova" w:eastAsia="Gill Sans Nova" w:cs="Gill Sans Nova"/>
          <w:noProof w:val="0"/>
          <w:sz w:val="20"/>
          <w:szCs w:val="20"/>
          <w:lang w:val="es-ES"/>
        </w:rPr>
        <w:t xml:space="preserve">Desde su ubicación en Karaköy, </w:t>
      </w:r>
      <w:r w:rsidRPr="7B37166B" w:rsidR="7E3290A4">
        <w:rPr>
          <w:rFonts w:ascii="Gill Sans Nova" w:hAnsi="Gill Sans Nova" w:eastAsia="Gill Sans Nova" w:cs="Gill Sans Nova"/>
          <w:b w:val="0"/>
          <w:bCs w:val="0"/>
          <w:noProof w:val="0"/>
          <w:sz w:val="20"/>
          <w:szCs w:val="20"/>
          <w:lang w:val="es-ES"/>
        </w:rPr>
        <w:t>The Peninsula Istanbul</w:t>
      </w:r>
      <w:r w:rsidRPr="7B37166B" w:rsidR="7E3290A4">
        <w:rPr>
          <w:rFonts w:ascii="Gill Sans Nova" w:hAnsi="Gill Sans Nova" w:eastAsia="Gill Sans Nova" w:cs="Gill Sans Nova"/>
          <w:b w:val="0"/>
          <w:bCs w:val="0"/>
          <w:noProof w:val="0"/>
          <w:sz w:val="20"/>
          <w:szCs w:val="20"/>
          <w:lang w:val="es-ES"/>
        </w:rPr>
        <w:t xml:space="preserve"> </w:t>
      </w:r>
      <w:r w:rsidRPr="7B37166B" w:rsidR="7E3290A4">
        <w:rPr>
          <w:rFonts w:ascii="Gill Sans Nova" w:hAnsi="Gill Sans Nova" w:eastAsia="Gill Sans Nova" w:cs="Gill Sans Nova"/>
          <w:noProof w:val="0"/>
          <w:sz w:val="20"/>
          <w:szCs w:val="20"/>
          <w:lang w:val="es-ES"/>
        </w:rPr>
        <w:t>reúne dos elementos que hacen especialmente interesante esta temporada: el contacto directo con el Bósforo y la posibilidad de explorar las tradiciones de la ciudad a través de experiencias culturales y de bienestar.</w:t>
      </w:r>
    </w:p>
    <w:p xmlns:wp14="http://schemas.microsoft.com/office/word/2010/wordml" w:rsidP="7B37166B" wp14:paraId="33E77C23" wp14:textId="63899068">
      <w:pPr>
        <w:spacing w:before="240" w:beforeAutospacing="off" w:after="240" w:afterAutospacing="off"/>
        <w:jc w:val="both"/>
      </w:pPr>
      <w:r w:rsidRPr="7B37166B" w:rsidR="7E3290A4">
        <w:rPr>
          <w:rFonts w:ascii="Gill Sans Nova" w:hAnsi="Gill Sans Nova" w:eastAsia="Gill Sans Nova" w:cs="Gill Sans Nova"/>
          <w:noProof w:val="0"/>
          <w:sz w:val="20"/>
          <w:szCs w:val="20"/>
          <w:lang w:val="es-ES"/>
        </w:rPr>
        <w:t>Para quienes planean viajar en noviembre o diciembre, combinar una navegación por el estrecho con un acercamiento a la historia de los hammams ofrece algo más que dos actividades en el itinerario: una manera de entender cómo el agua ha definido la identidad de Estambul y continúa formando parte de su vida cotidiana.</w:t>
      </w:r>
    </w:p>
    <w:p xmlns:wp14="http://schemas.microsoft.com/office/word/2010/wordml" w:rsidP="7B37166B" wp14:paraId="42D81578" wp14:textId="202FB059">
      <w:pPr>
        <w:spacing w:before="240" w:beforeAutospacing="off" w:after="240" w:afterAutospacing="off"/>
        <w:jc w:val="both"/>
        <w:rPr>
          <w:rFonts w:ascii="Gill Sans Nova" w:hAnsi="Gill Sans Nova" w:eastAsia="Gill Sans Nova" w:cs="Gill Sans Nova"/>
          <w:noProof w:val="0"/>
          <w:sz w:val="20"/>
          <w:szCs w:val="20"/>
          <w:lang w:val="es-ES"/>
        </w:rPr>
      </w:pPr>
      <w:r w:rsidRPr="065CFA5F" w:rsidR="0E1FF475">
        <w:rPr>
          <w:rFonts w:ascii="Gill Sans Nova" w:hAnsi="Gill Sans Nova" w:eastAsia="Gill Sans Nova" w:cs="Gill Sans Nova"/>
          <w:noProof w:val="0"/>
          <w:sz w:val="20"/>
          <w:szCs w:val="20"/>
          <w:lang w:val="es-ES"/>
        </w:rPr>
        <w:t>Descarga im</w:t>
      </w:r>
      <w:r w:rsidRPr="065CFA5F" w:rsidR="12EC25D1">
        <w:rPr>
          <w:rFonts w:ascii="Gill Sans Nova" w:hAnsi="Gill Sans Nova" w:eastAsia="Gill Sans Nova" w:cs="Gill Sans Nova"/>
          <w:noProof w:val="0"/>
          <w:sz w:val="20"/>
          <w:szCs w:val="20"/>
          <w:lang w:val="es-ES"/>
        </w:rPr>
        <w:t>á</w:t>
      </w:r>
      <w:r w:rsidRPr="065CFA5F" w:rsidR="0E1FF475">
        <w:rPr>
          <w:rFonts w:ascii="Gill Sans Nova" w:hAnsi="Gill Sans Nova" w:eastAsia="Gill Sans Nova" w:cs="Gill Sans Nova"/>
          <w:noProof w:val="0"/>
          <w:sz w:val="20"/>
          <w:szCs w:val="20"/>
          <w:lang w:val="es-ES"/>
        </w:rPr>
        <w:t xml:space="preserve">genes en alta </w:t>
      </w:r>
      <w:r w:rsidRPr="065CFA5F" w:rsidR="72D8505B">
        <w:rPr>
          <w:rFonts w:ascii="Gill Sans Nova" w:hAnsi="Gill Sans Nova" w:eastAsia="Gill Sans Nova" w:cs="Gill Sans Nova"/>
          <w:noProof w:val="0"/>
          <w:sz w:val="20"/>
          <w:szCs w:val="20"/>
          <w:lang w:val="es-ES"/>
        </w:rPr>
        <w:t>resolución</w:t>
      </w:r>
      <w:r w:rsidRPr="065CFA5F" w:rsidR="0E1FF475">
        <w:rPr>
          <w:rFonts w:ascii="Gill Sans Nova" w:hAnsi="Gill Sans Nova" w:eastAsia="Gill Sans Nova" w:cs="Gill Sans Nova"/>
          <w:noProof w:val="0"/>
          <w:sz w:val="20"/>
          <w:szCs w:val="20"/>
          <w:lang w:val="es-ES"/>
        </w:rPr>
        <w:t xml:space="preserve"> </w:t>
      </w:r>
      <w:hyperlink r:id="R0a13f3ccb366490f">
        <w:r w:rsidRPr="065CFA5F" w:rsidR="0E1FF475">
          <w:rPr>
            <w:rStyle w:val="Hyperlink"/>
            <w:noProof w:val="0"/>
            <w:sz w:val="20"/>
            <w:szCs w:val="20"/>
            <w:lang w:val="es-ES"/>
          </w:rPr>
          <w:t>aquí</w:t>
        </w:r>
      </w:hyperlink>
      <w:r w:rsidRPr="065CFA5F" w:rsidR="0E1FF475">
        <w:rPr>
          <w:rFonts w:ascii="Gill Sans Nova" w:hAnsi="Gill Sans Nova" w:eastAsia="Gill Sans Nova" w:cs="Gill Sans Nova"/>
          <w:noProof w:val="0"/>
          <w:sz w:val="20"/>
          <w:szCs w:val="20"/>
          <w:lang w:val="es-ES"/>
        </w:rPr>
        <w:t>.</w:t>
      </w:r>
    </w:p>
    <w:p xmlns:wp14="http://schemas.microsoft.com/office/word/2010/wordml" w:rsidP="7B37166B" wp14:paraId="128A2298" wp14:textId="4DFFA1D4">
      <w:pPr>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1"/>
          <w:bCs w:val="1"/>
          <w:i w:val="0"/>
          <w:iCs w:val="0"/>
          <w:caps w:val="0"/>
          <w:smallCaps w:val="0"/>
          <w:noProof w:val="0"/>
          <w:color w:val="000000" w:themeColor="text1" w:themeTint="FF" w:themeShade="FF"/>
          <w:sz w:val="20"/>
          <w:szCs w:val="20"/>
          <w:lang w:val="en-US"/>
        </w:rPr>
        <w:t>Acerca de The Hongkong and Shanghai Hotels, Limited (Código bursátil: 45)</w:t>
      </w:r>
    </w:p>
    <w:p xmlns:wp14="http://schemas.microsoft.com/office/word/2010/wordml" w:rsidP="7B37166B" wp14:paraId="29558FB9" wp14:textId="2C2747D7">
      <w:pPr>
        <w:spacing w:after="0" w:afterAutospacing="off"/>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Fundada en 1866 y cotizada en la Bolsa de Valores de Hong Kong, The Hongkong and Shanghai Hotels, Limited es la sociedad controladora de un grupo dedicado a la propiedad, desarrollo y gestión de prestigiosos hoteles y propiedades comerciales y residenciales en ubicaciones clave de Asia, Europa y Estados Unidos, así como a la prestación de servicios de turismo y ocio, retail y otros servicios.</w:t>
      </w:r>
    </w:p>
    <w:p xmlns:wp14="http://schemas.microsoft.com/office/word/2010/wordml" w:rsidP="7B37166B" wp14:paraId="3ED53096" wp14:textId="05E65E14">
      <w:pPr>
        <w:spacing w:after="0" w:afterAutospacing="off"/>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El portafolio de The Peninsula Hotels está integrado por The Peninsula Hong Kong, The Peninsula Shanghai, The Peninsula Beijing, The Peninsula Tokyo, The Peninsula London, The Peninsula Paris, The Peninsula Istanbul, The Peninsula New York, The Peninsula Chicago, The Peninsula Beverly Hills, The Peninsula Bangkok y The Peninsula Manila.</w:t>
      </w:r>
    </w:p>
    <w:p xmlns:wp14="http://schemas.microsoft.com/office/word/2010/wordml" w:rsidP="7B37166B" wp14:paraId="01890888" wp14:textId="734EDAA7">
      <w:pPr>
        <w:spacing w:after="0" w:afterAutospacing="off"/>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 xml:space="preserve">El portafolio inmobiliario del grupo incluye The Repulse Bay Complex, The Peak Tower y St. John’s Building, en Hong Kong, así como 21 avenue Kléber, en París, Francia. El portafolio de The Peak Tram, Retail and Others del grupo incluye The Peak Tram, en Hong Kong; The Quail, en Carmel, California; Peninsula Clubs and Consultancy Services, Peninsula Merchandising y Tai Pan Laundry, en Hong Kong. Conozca más en </w:t>
      </w:r>
      <w:hyperlink r:id="R90adf71ae2164ad3">
        <w:r w:rsidRPr="7B37166B" w:rsidR="1098BEF6">
          <w:rPr>
            <w:rStyle w:val="Hyperlink"/>
            <w:rFonts w:ascii="Gill Sans Nova" w:hAnsi="Gill Sans Nova" w:eastAsia="Gill Sans Nova" w:cs="Gill Sans Nova"/>
            <w:b w:val="0"/>
            <w:bCs w:val="0"/>
            <w:i w:val="0"/>
            <w:iCs w:val="0"/>
            <w:caps w:val="0"/>
            <w:smallCaps w:val="0"/>
            <w:strike w:val="0"/>
            <w:dstrike w:val="0"/>
            <w:noProof w:val="0"/>
            <w:sz w:val="20"/>
            <w:szCs w:val="20"/>
            <w:lang w:val="es-ES"/>
          </w:rPr>
          <w:t>www.peninsula.com</w:t>
        </w:r>
      </w:hyperlink>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 xml:space="preserve"> o síganos en </w:t>
      </w:r>
      <w:hyperlink r:id="R4b97e5314f024ff2">
        <w:r w:rsidRPr="7B37166B" w:rsidR="1098BEF6">
          <w:rPr>
            <w:rStyle w:val="Hyperlink"/>
            <w:rFonts w:ascii="Gill Sans Nova" w:hAnsi="Gill Sans Nova" w:eastAsia="Gill Sans Nova" w:cs="Gill Sans Nova"/>
            <w:b w:val="0"/>
            <w:bCs w:val="0"/>
            <w:i w:val="0"/>
            <w:iCs w:val="0"/>
            <w:caps w:val="0"/>
            <w:smallCaps w:val="0"/>
            <w:strike w:val="0"/>
            <w:dstrike w:val="0"/>
            <w:noProof w:val="0"/>
            <w:sz w:val="20"/>
            <w:szCs w:val="20"/>
            <w:lang w:val="es-ES"/>
          </w:rPr>
          <w:t>Facebook</w:t>
        </w:r>
      </w:hyperlink>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 xml:space="preserve"> </w:t>
      </w: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 xml:space="preserve">e </w:t>
      </w:r>
      <w:hyperlink r:id="Rd9e0e785839f4d4c">
        <w:r w:rsidRPr="7B37166B" w:rsidR="1098BEF6">
          <w:rPr>
            <w:rStyle w:val="Hyperlink"/>
            <w:rFonts w:ascii="Gill Sans Nova" w:hAnsi="Gill Sans Nova" w:eastAsia="Gill Sans Nova" w:cs="Gill Sans Nova"/>
            <w:b w:val="0"/>
            <w:bCs w:val="0"/>
            <w:i w:val="0"/>
            <w:iCs w:val="0"/>
            <w:caps w:val="0"/>
            <w:smallCaps w:val="0"/>
            <w:strike w:val="0"/>
            <w:dstrike w:val="0"/>
            <w:noProof w:val="0"/>
            <w:sz w:val="20"/>
            <w:szCs w:val="20"/>
            <w:lang w:val="es-ES"/>
          </w:rPr>
          <w:t>Instagram</w:t>
        </w:r>
      </w:hyperlink>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t xml:space="preserve">. </w:t>
      </w:r>
    </w:p>
    <w:p xmlns:wp14="http://schemas.microsoft.com/office/word/2010/wordml" w:rsidP="7B37166B" wp14:paraId="18008379" wp14:textId="328AFAFB">
      <w:pPr>
        <w:spacing w:after="0" w:afterAutospacing="off"/>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p>
    <w:p xmlns:wp14="http://schemas.microsoft.com/office/word/2010/wordml" w:rsidP="7B37166B" wp14:paraId="34E646B8" wp14:textId="39AA3B52">
      <w:pPr>
        <w:spacing w:after="0" w:afterAutospacing="off"/>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1"/>
          <w:bCs w:val="1"/>
          <w:i w:val="0"/>
          <w:iCs w:val="0"/>
          <w:caps w:val="0"/>
          <w:smallCaps w:val="0"/>
          <w:noProof w:val="0"/>
          <w:color w:val="000000" w:themeColor="text1" w:themeTint="FF" w:themeShade="FF"/>
          <w:sz w:val="20"/>
          <w:szCs w:val="20"/>
          <w:lang w:val="es-ES"/>
        </w:rPr>
        <w:t>Para más información, favor de contactar:</w:t>
      </w:r>
    </w:p>
    <w:p xmlns:wp14="http://schemas.microsoft.com/office/word/2010/wordml" w:rsidP="7B37166B" wp14:paraId="5381009B" wp14:textId="6DCD665B">
      <w:pPr>
        <w:spacing w:before="0" w:beforeAutospacing="off" w:after="0" w:afterAutospacing="off" w:line="276" w:lineRule="auto"/>
        <w:ind w:left="0" w:right="0"/>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p>
    <w:p xmlns:wp14="http://schemas.microsoft.com/office/word/2010/wordml" w:rsidP="7B37166B" wp14:paraId="4C98D2DF" wp14:textId="0728EC77">
      <w:pPr>
        <w:spacing w:before="0" w:beforeAutospacing="off" w:after="0" w:afterAutospacing="off" w:line="276" w:lineRule="auto"/>
        <w:ind w:left="0" w:right="0"/>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1"/>
          <w:bCs w:val="1"/>
          <w:i w:val="0"/>
          <w:iCs w:val="0"/>
          <w:caps w:val="0"/>
          <w:smallCaps w:val="0"/>
          <w:noProof w:val="0"/>
          <w:color w:val="000000" w:themeColor="text1" w:themeTint="FF" w:themeShade="FF"/>
          <w:sz w:val="20"/>
          <w:szCs w:val="20"/>
          <w:lang w:val="en-US"/>
        </w:rPr>
        <w:t>Roger Cuenca Ruíz</w:t>
      </w:r>
    </w:p>
    <w:p xmlns:wp14="http://schemas.microsoft.com/office/word/2010/wordml" w:rsidP="7B37166B" wp14:paraId="1D9217C6" wp14:textId="547E7F5C">
      <w:pPr>
        <w:spacing w:before="0" w:beforeAutospacing="off" w:after="0" w:afterAutospacing="off" w:line="276" w:lineRule="auto"/>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n-US"/>
        </w:rPr>
        <w:t>Executive PR – Luxury, Travel &amp; Hospitality | Another Company</w:t>
      </w:r>
    </w:p>
    <w:p xmlns:wp14="http://schemas.microsoft.com/office/word/2010/wordml" w:rsidP="7B37166B" wp14:paraId="728C09C5" wp14:textId="011B0E3E">
      <w:pPr>
        <w:spacing w:before="0" w:beforeAutospacing="off" w:after="0" w:afterAutospacing="off" w:line="276" w:lineRule="auto"/>
        <w:ind w:left="0" w:right="0"/>
        <w:jc w:val="both"/>
        <w:rPr>
          <w:rFonts w:ascii="Gill Sans Nova" w:hAnsi="Gill Sans Nova" w:eastAsia="Gill Sans Nova" w:cs="Gill Sans Nova"/>
          <w:b w:val="0"/>
          <w:bCs w:val="0"/>
          <w:i w:val="0"/>
          <w:iCs w:val="0"/>
          <w:caps w:val="0"/>
          <w:smallCaps w:val="0"/>
          <w:noProof w:val="0"/>
          <w:color w:val="467886"/>
          <w:sz w:val="20"/>
          <w:szCs w:val="20"/>
          <w:lang w:val="es-ES"/>
        </w:rPr>
      </w:pPr>
      <w:hyperlink r:id="R43d7b04f5fb34d54">
        <w:r w:rsidRPr="7B37166B" w:rsidR="1098BEF6">
          <w:rPr>
            <w:rStyle w:val="Hyperlink"/>
            <w:rFonts w:ascii="Gill Sans Nova" w:hAnsi="Gill Sans Nova" w:eastAsia="Gill Sans Nova" w:cs="Gill Sans Nova"/>
            <w:b w:val="0"/>
            <w:bCs w:val="0"/>
            <w:i w:val="0"/>
            <w:iCs w:val="0"/>
            <w:caps w:val="0"/>
            <w:smallCaps w:val="0"/>
            <w:strike w:val="0"/>
            <w:dstrike w:val="0"/>
            <w:noProof w:val="0"/>
            <w:sz w:val="20"/>
            <w:szCs w:val="20"/>
            <w:lang w:val="en-US"/>
          </w:rPr>
          <w:t>rogelio.cuenca@another.co</w:t>
        </w:r>
      </w:hyperlink>
    </w:p>
    <w:p xmlns:wp14="http://schemas.microsoft.com/office/word/2010/wordml" w:rsidP="7B37166B" wp14:paraId="25264DF1" wp14:textId="5B7C7223">
      <w:pPr>
        <w:spacing w:before="0" w:beforeAutospacing="off" w:after="0" w:afterAutospacing="off" w:line="276" w:lineRule="auto"/>
        <w:jc w:val="both"/>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r w:rsidRPr="7B37166B" w:rsidR="1098BEF6">
        <w:rPr>
          <w:rFonts w:ascii="Gill Sans Nova" w:hAnsi="Gill Sans Nova" w:eastAsia="Gill Sans Nova" w:cs="Gill Sans Nova"/>
          <w:b w:val="0"/>
          <w:bCs w:val="0"/>
          <w:i w:val="0"/>
          <w:iCs w:val="0"/>
          <w:caps w:val="0"/>
          <w:smallCaps w:val="0"/>
          <w:noProof w:val="0"/>
          <w:color w:val="000000" w:themeColor="text1" w:themeTint="FF" w:themeShade="FF"/>
          <w:sz w:val="20"/>
          <w:szCs w:val="20"/>
          <w:lang w:val="en-US"/>
        </w:rPr>
        <w:t>Tel. 729 780 8397</w:t>
      </w:r>
    </w:p>
    <w:p xmlns:wp14="http://schemas.microsoft.com/office/word/2010/wordml" w:rsidP="7B37166B" wp14:paraId="75D74651" wp14:textId="60E76F62">
      <w:pPr>
        <w:rPr>
          <w:rFonts w:ascii="Gill Sans Nova" w:hAnsi="Gill Sans Nova" w:eastAsia="Gill Sans Nova" w:cs="Gill Sans Nova"/>
          <w:b w:val="0"/>
          <w:bCs w:val="0"/>
          <w:i w:val="0"/>
          <w:iCs w:val="0"/>
          <w:caps w:val="0"/>
          <w:smallCaps w:val="0"/>
          <w:noProof w:val="0"/>
          <w:color w:val="000000" w:themeColor="text1" w:themeTint="FF" w:themeShade="FF"/>
          <w:sz w:val="20"/>
          <w:szCs w:val="20"/>
          <w:lang w:val="es-ES"/>
        </w:rPr>
      </w:pPr>
    </w:p>
    <w:p xmlns:wp14="http://schemas.microsoft.com/office/word/2010/wordml" wp14:paraId="5C1A07E2" wp14:textId="08EF81DE"/>
    <w:sectPr>
      <w:pgSz w:w="11906" w:h="16838" w:orient="portrait"/>
      <w:pgMar w:top="1440" w:right="1440" w:bottom="1440" w:left="1440" w:header="720" w:footer="720" w:gutter="0"/>
      <w:cols w:space="720"/>
      <w:docGrid w:linePitch="360"/>
      <w:headerReference w:type="default" r:id="Ra69e3141f0254f41"/>
      <w:footerReference w:type="default" r:id="R53211474a1c54b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088C21F" w:rsidTr="7088C21F" w14:paraId="4D044080">
      <w:trPr>
        <w:trHeight w:val="300"/>
      </w:trPr>
      <w:tc>
        <w:tcPr>
          <w:tcW w:w="3005" w:type="dxa"/>
          <w:tcMar/>
        </w:tcPr>
        <w:p w:rsidR="7088C21F" w:rsidP="7088C21F" w:rsidRDefault="7088C21F" w14:paraId="40E12AC6" w14:textId="33DEBCBF">
          <w:pPr>
            <w:pStyle w:val="Header"/>
            <w:bidi w:val="0"/>
            <w:ind w:left="-115"/>
            <w:jc w:val="left"/>
          </w:pPr>
        </w:p>
      </w:tc>
      <w:tc>
        <w:tcPr>
          <w:tcW w:w="3005" w:type="dxa"/>
          <w:tcMar/>
        </w:tcPr>
        <w:p w:rsidR="7088C21F" w:rsidP="7088C21F" w:rsidRDefault="7088C21F" w14:paraId="439E827D" w14:textId="5E09016A">
          <w:pPr>
            <w:pStyle w:val="Header"/>
            <w:bidi w:val="0"/>
            <w:jc w:val="center"/>
          </w:pPr>
        </w:p>
      </w:tc>
      <w:tc>
        <w:tcPr>
          <w:tcW w:w="3005" w:type="dxa"/>
          <w:tcMar/>
        </w:tcPr>
        <w:p w:rsidR="7088C21F" w:rsidP="7088C21F" w:rsidRDefault="7088C21F" w14:paraId="4C88D71D" w14:textId="24FDCCC5">
          <w:pPr>
            <w:pStyle w:val="Header"/>
            <w:bidi w:val="0"/>
            <w:ind w:right="-115"/>
            <w:jc w:val="right"/>
          </w:pPr>
        </w:p>
      </w:tc>
    </w:tr>
  </w:tbl>
  <w:p w:rsidR="7088C21F" w:rsidP="7088C21F" w:rsidRDefault="7088C21F" w14:paraId="126AE50D" w14:textId="0AD502C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088C21F" w:rsidTr="7088C21F" w14:paraId="70950FDD">
      <w:trPr>
        <w:trHeight w:val="300"/>
      </w:trPr>
      <w:tc>
        <w:tcPr>
          <w:tcW w:w="3005" w:type="dxa"/>
          <w:tcMar/>
        </w:tcPr>
        <w:p w:rsidR="7088C21F" w:rsidP="7088C21F" w:rsidRDefault="7088C21F" w14:paraId="4D8825CE" w14:textId="6B04ED0D">
          <w:pPr>
            <w:pStyle w:val="Header"/>
            <w:bidi w:val="0"/>
            <w:ind w:left="-115"/>
            <w:jc w:val="left"/>
          </w:pPr>
        </w:p>
      </w:tc>
      <w:tc>
        <w:tcPr>
          <w:tcW w:w="3005" w:type="dxa"/>
          <w:tcMar/>
        </w:tcPr>
        <w:p w:rsidR="7088C21F" w:rsidP="7088C21F" w:rsidRDefault="7088C21F" w14:paraId="256B057A" w14:textId="41A51972">
          <w:pPr>
            <w:pStyle w:val="Header"/>
            <w:bidi w:val="0"/>
            <w:jc w:val="center"/>
          </w:pPr>
          <w:r w:rsidR="7088C21F">
            <w:drawing>
              <wp:inline wp14:editId="54D0B8F0" wp14:anchorId="71B221C4">
                <wp:extent cx="1771650" cy="361950"/>
                <wp:effectExtent l="0" t="0" r="0" b="0"/>
                <wp:docPr id="1597235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597235302" name="Picture 159723530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3363360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361950"/>
                        </a:xfrm>
                        <a:prstGeom xmlns:a="http://schemas.openxmlformats.org/drawingml/2006/main" prst="rect">
                          <a:avLst xmlns:a="http://schemas.openxmlformats.org/drawingml/2006/main"/>
                        </a:prstGeom>
                      </pic:spPr>
                    </pic:pic>
                  </a:graphicData>
                </a:graphic>
              </wp:inline>
            </w:drawing>
          </w:r>
        </w:p>
      </w:tc>
      <w:tc>
        <w:tcPr>
          <w:tcW w:w="3005" w:type="dxa"/>
          <w:tcMar/>
        </w:tcPr>
        <w:p w:rsidR="7088C21F" w:rsidP="7088C21F" w:rsidRDefault="7088C21F" w14:paraId="0F852D1C" w14:textId="58EB23BB">
          <w:pPr>
            <w:pStyle w:val="Header"/>
            <w:bidi w:val="0"/>
            <w:ind w:right="-115"/>
            <w:jc w:val="right"/>
          </w:pPr>
        </w:p>
      </w:tc>
    </w:tr>
  </w:tbl>
  <w:p w:rsidR="7088C21F" w:rsidP="7088C21F" w:rsidRDefault="7088C21F" w14:paraId="5F13248E" w14:textId="076F1BB9">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E648A"/>
    <w:rsid w:val="065CFA5F"/>
    <w:rsid w:val="08189A16"/>
    <w:rsid w:val="0935B86F"/>
    <w:rsid w:val="0C247186"/>
    <w:rsid w:val="0E1FF475"/>
    <w:rsid w:val="0E591243"/>
    <w:rsid w:val="1098BEF6"/>
    <w:rsid w:val="11DE648A"/>
    <w:rsid w:val="122630DD"/>
    <w:rsid w:val="12D20BBB"/>
    <w:rsid w:val="12EC25D1"/>
    <w:rsid w:val="19AD1466"/>
    <w:rsid w:val="1E94BA71"/>
    <w:rsid w:val="24660AB7"/>
    <w:rsid w:val="2A77CEB3"/>
    <w:rsid w:val="3829A4DA"/>
    <w:rsid w:val="3857F04A"/>
    <w:rsid w:val="3965B5B6"/>
    <w:rsid w:val="3B20FF6D"/>
    <w:rsid w:val="3C0BE11E"/>
    <w:rsid w:val="4394245E"/>
    <w:rsid w:val="47431631"/>
    <w:rsid w:val="47C59EE5"/>
    <w:rsid w:val="4D1E4C8B"/>
    <w:rsid w:val="5B12C703"/>
    <w:rsid w:val="6750095C"/>
    <w:rsid w:val="68778F7E"/>
    <w:rsid w:val="7088C21F"/>
    <w:rsid w:val="72D8505B"/>
    <w:rsid w:val="76191439"/>
    <w:rsid w:val="78BD489E"/>
    <w:rsid w:val="7B37166B"/>
    <w:rsid w:val="7CDF8826"/>
    <w:rsid w:val="7CF0CF37"/>
    <w:rsid w:val="7E3290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4334"/>
  <w15:chartTrackingRefBased/>
  <w15:docId w15:val="{6A63AA09-09C6-488C-8839-3C8F95DA36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D1E4C8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D1E4C8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7B37166B"/>
    <w:rPr>
      <w:color w:val="467886"/>
      <w:u w:val="single"/>
    </w:rPr>
  </w:style>
  <w:style w:type="paragraph" w:styleId="Header">
    <w:uiPriority w:val="99"/>
    <w:name w:val="header"/>
    <w:basedOn w:val="Normal"/>
    <w:unhideWhenUsed/>
    <w:rsid w:val="7088C21F"/>
    <w:pPr>
      <w:tabs>
        <w:tab w:val="center" w:leader="none" w:pos="4680"/>
        <w:tab w:val="right" w:leader="none" w:pos="9360"/>
      </w:tabs>
      <w:spacing w:after="0" w:line="240" w:lineRule="auto"/>
    </w:pPr>
  </w:style>
  <w:style w:type="paragraph" w:styleId="Footer">
    <w:uiPriority w:val="99"/>
    <w:name w:val="footer"/>
    <w:basedOn w:val="Normal"/>
    <w:unhideWhenUsed/>
    <w:rsid w:val="7088C21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peninsula.com/en/istanbul/5-star-luxury-hotel-bosphorus?utm_source=google&amp;utm_medium=cpc&amp;utm_campaign=pit_prop_row_t3_int_eng_sem_goog_con_brand_em_txt_hotel-alwayson_alwayson_hotel-brand-en_na&amp;gclsrc=aw.ds&amp;gad_source=1&amp;gad_campaignid=23437912959&amp;gbraid=0AAAABCDBF6eIYVrl-8XLktnAP4Gfu_yxN&amp;gclid=CjwKCAjw88HWBhA3EiwAo2Zd6AANLGXGfmWb0cdOBMqLwDP8clDy-RcstH2Ug9wJa4eSSdMylmzdlhoCDS0QAvD_BwE" TargetMode="External" Id="Reecb93a362b74ddc" /><Relationship Type="http://schemas.openxmlformats.org/officeDocument/2006/relationships/hyperlink" Target="https://www.peninsula.com/en/istanbul/hotel-fine-dining/the-lobby" TargetMode="External" Id="R536a04b83a624a49" /><Relationship Type="http://schemas.openxmlformats.org/officeDocument/2006/relationships/hyperlink" Target="https://www.peninsula.com/en/tokyo/academy-listing" TargetMode="External" Id="R538b93a05c1a434a" /><Relationship Type="http://schemas.openxmlformats.org/officeDocument/2006/relationships/hyperlink" Target="https://www.peninsula.com/en/istanbul/academy-listing/healing-waters-of-istanbul" TargetMode="External" Id="Rf81eb3b9376741cd" /><Relationship Type="http://schemas.openxmlformats.org/officeDocument/2006/relationships/hyperlink" Target="https://www.peninsula.com/en/istanbul/wellness/spa" TargetMode="External" Id="R729ea952fdae44bc" /><Relationship Type="http://schemas.openxmlformats.org/officeDocument/2006/relationships/hyperlink" Target="https://www.peninsula.com/en/global-pages/suite-experience?utm_source=google&amp;utm_medium=cpc&amp;utm_campaign=pgs_group_multi_t2_int_eng_sem_goog_con_purebrand_em_txt_hotel-alwayson_alwayson_pure-brand-en_na&amp;gclsrc=aw.ds&amp;gad_source=1&amp;gad_campaignid=23388791648&amp;gbraid=0AAAABCDBF6dWS3miUMM59YdLZA7UbXvIw&amp;gclid=CjwKCAjwn67VBhBnEiwAXUIN1TsXyLkpJleRpJTkXFYZvpZCAIrwTmuJHRuSjMKBCA3_yvLN8oh2PBoC6zYQAvD_BwE" TargetMode="External" Id="R90adf71ae2164ad3" /><Relationship Type="http://schemas.openxmlformats.org/officeDocument/2006/relationships/hyperlink" Target="https://www.facebook.com/ThePeninsulaHotels/" TargetMode="External" Id="R4b97e5314f024ff2" /><Relationship Type="http://schemas.openxmlformats.org/officeDocument/2006/relationships/hyperlink" Target="https://www.instagram.com/peninsulahotels/" TargetMode="External" Id="Rd9e0e785839f4d4c" /><Relationship Type="http://schemas.openxmlformats.org/officeDocument/2006/relationships/hyperlink" Target="mailto:rogelio.cuenca@another.co" TargetMode="External" Id="R43d7b04f5fb34d54" /><Relationship Type="http://schemas.openxmlformats.org/officeDocument/2006/relationships/header" Target="header.xml" Id="Ra69e3141f0254f41" /><Relationship Type="http://schemas.openxmlformats.org/officeDocument/2006/relationships/footer" Target="footer.xml" Id="R53211474a1c54b53" /><Relationship Type="http://schemas.openxmlformats.org/officeDocument/2006/relationships/hyperlink" Target="https://cocentraloffice.sharepoint.com/:f:/s/ACG-Tourism/IgDz_mwoc4OpSb7z_m-06wvQAe0EVLseu9kZbfwzAGPbtVM?e=cEkjcW" TargetMode="External" Id="R0a13f3ccb366490f" /></Relationships>
</file>

<file path=word/_rels/header.xml.rels>&#65279;<?xml version="1.0" encoding="utf-8"?><Relationships xmlns="http://schemas.openxmlformats.org/package/2006/relationships"><Relationship Type="http://schemas.openxmlformats.org/officeDocument/2006/relationships/image" Target="/media/image.png" Id="rId183363360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venir Next LT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2CCEEA-9CEA-49C5-949B-0EFB593CC56F}"/>
</file>

<file path=customXml/itemProps2.xml><?xml version="1.0" encoding="utf-8"?>
<ds:datastoreItem xmlns:ds="http://schemas.openxmlformats.org/officeDocument/2006/customXml" ds:itemID="{9D8F4983-6D81-46EC-B9AD-F9789BC92FC2}"/>
</file>

<file path=customXml/itemProps3.xml><?xml version="1.0" encoding="utf-8"?>
<ds:datastoreItem xmlns:ds="http://schemas.openxmlformats.org/officeDocument/2006/customXml" ds:itemID="{2288D385-36CF-43B7-A7AD-5B027F10AC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Roger Cuenca</dc:creator>
  <keywords/>
  <dc:description/>
  <lastModifiedBy>Roger Cuenca</lastModifiedBy>
  <dcterms:created xsi:type="dcterms:W3CDTF">2026-10-15T20:58:23.0000000Z</dcterms:created>
  <dcterms:modified xsi:type="dcterms:W3CDTF">2026-10-19T16:19:45.5814112Z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